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8931" w:type="dxa"/>
        <w:tblInd w:w="5659" w:type="dxa"/>
        <w:tblLook w:val="04A0" w:firstRow="1" w:lastRow="0" w:firstColumn="1" w:lastColumn="0" w:noHBand="0" w:noVBand="1"/>
      </w:tblPr>
      <w:tblGrid>
        <w:gridCol w:w="4844"/>
        <w:gridCol w:w="4087"/>
      </w:tblGrid>
      <w:tr>
        <w:tblPrEx/>
        <w:trPr>
          <w:trHeight w:val="1418"/>
        </w:trPr>
        <w:tc>
          <w:tcPr>
            <w:shd w:val="clear" w:color="auto" w:fill="auto"/>
            <w:tcW w:w="484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  <w:tc>
          <w:tcPr>
            <w:shd w:val="clear" w:color="auto" w:fill="auto"/>
            <w:tcW w:w="4087" w:type="dxa"/>
            <w:textDirection w:val="lrTb"/>
            <w:noWrap w:val="false"/>
          </w:tcPr>
          <w:p>
            <w:pPr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7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 постановлению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администрации города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от______________ № ______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7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left="36"/>
              <w:jc w:val="both"/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 муниципальной программе 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left="36"/>
              <w:jc w:val="both"/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«Совершенствование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left="36"/>
              <w:jc w:val="both"/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управления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и реализация национальной политики в городе Барнауле»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</w:tbl>
    <w:p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rPr>
          <w:rFonts w:ascii="PT Astra Serif" w:hAnsi="PT Astra Serif" w:eastAsia="Calibri"/>
          <w:bCs/>
          <w:sz w:val="28"/>
          <w:szCs w:val="28"/>
        </w:rPr>
        <w:outlineLvl w:val="0"/>
      </w:pPr>
      <w:r>
        <w:rPr>
          <w:rFonts w:ascii="PT Astra Serif" w:hAnsi="PT Astra Serif" w:eastAsia="Calibri"/>
          <w:bCs/>
          <w:sz w:val="28"/>
          <w:szCs w:val="28"/>
        </w:rPr>
        <w:t xml:space="preserve">ОБЪЕМ</w:t>
      </w:r>
      <w:r>
        <w:rPr>
          <w:rFonts w:ascii="PT Astra Serif" w:hAnsi="PT Astra Serif" w:eastAsia="Calibri"/>
          <w:bCs/>
          <w:sz w:val="28"/>
          <w:szCs w:val="28"/>
        </w:rPr>
        <w:br/>
        <w:t xml:space="preserve">финансовых ресурсов, </w:t>
      </w:r>
      <w:r>
        <w:rPr>
          <w:rFonts w:ascii="PT Astra Serif" w:hAnsi="PT Astra Serif" w:eastAsia="Calibri"/>
          <w:bCs/>
          <w:sz w:val="28"/>
          <w:szCs w:val="28"/>
        </w:rPr>
        <w:br/>
      </w:r>
      <w:r>
        <w:rPr>
          <w:rFonts w:ascii="PT Astra Serif" w:hAnsi="PT Astra Serif" w:eastAsia="Calibri"/>
          <w:bCs/>
          <w:sz w:val="28"/>
          <w:szCs w:val="28"/>
        </w:rPr>
        <w:t xml:space="preserve">необходимых для реализации Программы</w:t>
      </w:r>
      <w:r>
        <w:rPr>
          <w:rFonts w:ascii="PT Astra Serif" w:hAnsi="PT Astra Serif" w:eastAsia="Calibri"/>
          <w:bCs/>
          <w:sz w:val="28"/>
          <w:szCs w:val="28"/>
        </w:rPr>
      </w:r>
    </w:p>
    <w:p>
      <w:pPr>
        <w:jc w:val="center"/>
        <w:rPr>
          <w:rFonts w:eastAsia="Calibri"/>
          <w:bCs/>
          <w:sz w:val="28"/>
          <w:szCs w:val="28"/>
        </w:rPr>
        <w:outlineLvl w:val="0"/>
      </w:pPr>
      <w:r>
        <w:rPr>
          <w:rFonts w:eastAsia="Calibri"/>
          <w:bCs/>
          <w:sz w:val="28"/>
          <w:szCs w:val="28"/>
        </w:rPr>
      </w:r>
      <w:r>
        <w:rPr>
          <w:rFonts w:eastAsia="Calibri"/>
          <w:bCs/>
          <w:sz w:val="28"/>
          <w:szCs w:val="28"/>
        </w:rPr>
      </w:r>
    </w:p>
    <w:tbl>
      <w:tblPr>
        <w:tblW w:w="5225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844"/>
        <w:gridCol w:w="1133"/>
        <w:gridCol w:w="992"/>
        <w:gridCol w:w="992"/>
        <w:gridCol w:w="1134"/>
        <w:gridCol w:w="1131"/>
        <w:gridCol w:w="1561"/>
        <w:gridCol w:w="1842"/>
        <w:gridCol w:w="1561"/>
        <w:gridCol w:w="1561"/>
        <w:gridCol w:w="1700"/>
      </w:tblGrid>
      <w:tr>
        <w:tblPrEx/>
        <w:trPr>
          <w:trHeight w:val="261"/>
          <w:tblHeader/>
        </w:trPr>
        <w:tc>
          <w:tcPr>
            <w:tcW w:w="597" w:type="pct"/>
            <w:vMerge w:val="restart"/>
            <w:textDirection w:val="lrTb"/>
            <w:noWrap w:val="false"/>
          </w:tcPr>
          <w:p>
            <w:pPr>
              <w:ind w:left="-108"/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Источники и направления расходов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gridSpan w:val="10"/>
            <w:tcBorders>
              <w:bottom w:val="single" w:color="auto" w:sz="4" w:space="0"/>
            </w:tcBorders>
            <w:tcW w:w="4403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Сумма расходов по годам реализации, тыс. рублей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</w:tr>
      <w:tr>
        <w:tblPrEx/>
        <w:trPr>
          <w:trHeight w:val="704"/>
        </w:trPr>
        <w:tc>
          <w:tcPr>
            <w:tcBorders>
              <w:bottom w:val="single" w:color="auto" w:sz="4" w:space="0"/>
            </w:tcBorders>
            <w:tcW w:w="597" w:type="pct"/>
            <w:vMerge w:val="continue"/>
            <w:textDirection w:val="lrTb"/>
            <w:noWrap w:val="false"/>
          </w:tcPr>
          <w:p>
            <w:pPr>
              <w:jc w:val="both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2020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2021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2022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2023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2024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2025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2026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2027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 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2028 </w:t>
              <w:br/>
              <w:t xml:space="preserve">год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Всего: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1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2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3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4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5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6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7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8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9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10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11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5225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6"/>
        <w:gridCol w:w="1131"/>
        <w:gridCol w:w="992"/>
        <w:gridCol w:w="992"/>
        <w:gridCol w:w="1134"/>
        <w:gridCol w:w="1131"/>
        <w:gridCol w:w="1561"/>
        <w:gridCol w:w="1842"/>
        <w:gridCol w:w="1561"/>
        <w:gridCol w:w="1561"/>
        <w:gridCol w:w="1700"/>
      </w:tblGrid>
      <w:tr>
        <w:tblPrEx/>
        <w:trPr>
          <w:trHeight w:val="88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Всего финансо-вых затрат, в том числе: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78823,4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89333,4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98813,8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187856,0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148648,9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260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 734,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5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4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275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 852,60000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211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 671,50000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211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 767,90000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highlight w:val="none"/>
                <w:lang w:eastAsia="ru-RU"/>
              </w:rPr>
              <w:t xml:space="preserve"> 563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 501,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5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4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34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городского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60823,4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71333,4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80813,8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159676,0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128641,5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239 174,25174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254</w:t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 331,60000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190</w:t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 150,5000</w:t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190 246,90000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1 375 191,35174</w:t>
            </w:r>
            <w:r>
              <w:rPr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01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краевого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8617,0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8 617,00000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федерального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1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3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5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6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7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9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11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внебюджетных источников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18 000,0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18 000,0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18 000,0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19 563,0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20 007,4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21 560,00000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21 521,00000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21 521,00000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21 521,00000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179 693</w:t>
            </w:r>
            <w:r>
              <w:rPr>
                <w:rFonts w:ascii="PT Astra Serif" w:hAnsi="PT Astra Serif"/>
                <w:sz w:val="21"/>
                <w:szCs w:val="21"/>
              </w:rPr>
              <w:t xml:space="preserve">,40000  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Капитальные вложения, в том числе: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bookmarkStart w:id="0" w:name="_GoBack"/>
            <w:r/>
            <w:bookmarkEnd w:id="0"/>
            <w:r/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городского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379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краевого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федерального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98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внебюджетных источников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Прочие расходы, в том числе: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78823,4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89333,4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98813,8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187856,0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148648,9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260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 734,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5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4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275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 852,60000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211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 671,50000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211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 767,90000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highlight w:val="none"/>
                <w:lang w:eastAsia="ru-RU"/>
              </w:rPr>
              <w:t xml:space="preserve"> 563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 501,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5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1"/>
                <w:szCs w:val="21"/>
                <w:highlight w:val="none"/>
                <w:lang w:eastAsia="ru-RU"/>
              </w:rPr>
              <w:t xml:space="preserve">4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городского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60823,4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71333,4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80813,8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159676,0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128641,5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239 174,25174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254</w:t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 331,60000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190</w:t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 150,5000</w:t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0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190 246,90000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 w:eastAsia="Times New Roman" w:cs="Times New Roman"/>
                <w:sz w:val="21"/>
                <w:szCs w:val="21"/>
                <w:lang w:eastAsia="ru-RU"/>
              </w:rPr>
              <w:t xml:space="preserve">1 375 191,35174</w:t>
            </w:r>
            <w:r>
              <w:rPr>
                <w:rFonts w:ascii="PT Astra Serif" w:hAnsi="PT Astra Serif"/>
                <w:sz w:val="21"/>
                <w:szCs w:val="21"/>
              </w:rPr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краевого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8617,0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8617,00000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федерального бюджета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spacing w:line="247" w:lineRule="auto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7" w:type="pct"/>
            <w:textDirection w:val="lrTb"/>
            <w:noWrap w:val="false"/>
          </w:tcPr>
          <w:p>
            <w:pPr>
              <w:spacing w:line="247" w:lineRule="auto"/>
              <w:rPr>
                <w:rFonts w:ascii="PT Astra Serif" w:hAnsi="PT Astra Serif" w:eastAsia="Calibri"/>
                <w:sz w:val="21"/>
                <w:szCs w:val="21"/>
              </w:rPr>
            </w:pPr>
            <w:r>
              <w:rPr>
                <w:rFonts w:ascii="PT Astra Serif" w:hAnsi="PT Astra Serif" w:eastAsia="Calibri"/>
                <w:sz w:val="21"/>
                <w:szCs w:val="21"/>
              </w:rPr>
              <w:t xml:space="preserve">из внебюджетных источников</w:t>
            </w:r>
            <w:r>
              <w:rPr>
                <w:rFonts w:ascii="PT Astra Serif" w:hAnsi="PT Astra Serif" w:eastAsia="Calibri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18 000,0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18 000,0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18 000,0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19 563,0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20 007,4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21 560,00000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6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21 521,00000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21 521,00000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21 521,00000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179 693,40000</w:t>
            </w:r>
            <w:r>
              <w:rPr>
                <w:rFonts w:ascii="PT Astra Serif" w:hAnsi="PT Astra Serif"/>
                <w:sz w:val="21"/>
                <w:szCs w:val="21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985" w:right="113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4"/>
      <w:jc w:val="right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 PAGE   \* MERGEFORMAT </w:instrText>
    </w:r>
    <w:r>
      <w:rPr>
        <w:sz w:val="28"/>
      </w:rPr>
      <w:fldChar w:fldCharType="separate"/>
    </w:r>
    <w:r>
      <w:rPr>
        <w:sz w:val="28"/>
      </w:rPr>
      <w:t xml:space="preserve">2</w:t>
    </w:r>
    <w:r>
      <w:rPr>
        <w:sz w:val="28"/>
      </w:rPr>
      <w:fldChar w:fldCharType="end"/>
    </w:r>
    <w:r>
      <w:rPr>
        <w:sz w:val="28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9"/>
    <w:link w:val="66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7"/>
    <w:next w:val="66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7"/>
    <w:next w:val="66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7"/>
    <w:next w:val="66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7"/>
    <w:next w:val="66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7"/>
    <w:next w:val="66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7"/>
    <w:next w:val="66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7"/>
    <w:next w:val="66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7"/>
    <w:next w:val="66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7"/>
    <w:next w:val="66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9"/>
    <w:link w:val="34"/>
    <w:uiPriority w:val="10"/>
    <w:rPr>
      <w:sz w:val="48"/>
      <w:szCs w:val="48"/>
    </w:rPr>
  </w:style>
  <w:style w:type="paragraph" w:styleId="36">
    <w:name w:val="Subtitle"/>
    <w:basedOn w:val="667"/>
    <w:next w:val="66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9"/>
    <w:link w:val="36"/>
    <w:uiPriority w:val="11"/>
    <w:rPr>
      <w:sz w:val="24"/>
      <w:szCs w:val="24"/>
    </w:rPr>
  </w:style>
  <w:style w:type="paragraph" w:styleId="38">
    <w:name w:val="Quote"/>
    <w:basedOn w:val="667"/>
    <w:next w:val="66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7"/>
    <w:next w:val="66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9"/>
    <w:link w:val="674"/>
    <w:uiPriority w:val="99"/>
  </w:style>
  <w:style w:type="character" w:styleId="45">
    <w:name w:val="Footer Char"/>
    <w:basedOn w:val="669"/>
    <w:link w:val="676"/>
    <w:uiPriority w:val="99"/>
  </w:style>
  <w:style w:type="paragraph" w:styleId="46">
    <w:name w:val="Caption"/>
    <w:basedOn w:val="667"/>
    <w:next w:val="66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69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9"/>
    <w:uiPriority w:val="99"/>
    <w:unhideWhenUsed/>
    <w:rPr>
      <w:vertAlign w:val="superscript"/>
    </w:rPr>
  </w:style>
  <w:style w:type="paragraph" w:styleId="178">
    <w:name w:val="endnote text"/>
    <w:basedOn w:val="66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9"/>
    <w:uiPriority w:val="99"/>
    <w:semiHidden/>
    <w:unhideWhenUsed/>
    <w:rPr>
      <w:vertAlign w:val="superscript"/>
    </w:rPr>
  </w:style>
  <w:style w:type="paragraph" w:styleId="181">
    <w:name w:val="toc 1"/>
    <w:basedOn w:val="667"/>
    <w:next w:val="66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7"/>
    <w:next w:val="66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7"/>
    <w:next w:val="66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7"/>
    <w:next w:val="66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7"/>
    <w:next w:val="66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7"/>
    <w:next w:val="66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7"/>
    <w:next w:val="66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7"/>
    <w:next w:val="66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7"/>
    <w:next w:val="66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7"/>
    <w:next w:val="667"/>
    <w:uiPriority w:val="99"/>
    <w:unhideWhenUsed/>
    <w:pPr>
      <w:spacing w:after="0" w:afterAutospacing="0"/>
    </w:pPr>
  </w:style>
  <w:style w:type="paragraph" w:styleId="667" w:default="1">
    <w:name w:val="Normal"/>
    <w:qFormat/>
    <w:rPr>
      <w:rFonts w:eastAsia="Times New Roman"/>
      <w:sz w:val="24"/>
      <w:szCs w:val="24"/>
    </w:rPr>
  </w:style>
  <w:style w:type="paragraph" w:styleId="668">
    <w:name w:val="Heading 1"/>
    <w:basedOn w:val="667"/>
    <w:next w:val="667"/>
    <w:link w:val="679"/>
    <w:uiPriority w:val="99"/>
    <w:qFormat/>
    <w:pPr>
      <w:jc w:val="center"/>
      <w:spacing w:before="108" w:after="108"/>
      <w:outlineLvl w:val="0"/>
    </w:pPr>
    <w:rPr>
      <w:rFonts w:ascii="Arial" w:hAnsi="Arial" w:eastAsia="Calibri" w:cs="Arial"/>
      <w:b/>
      <w:bCs/>
      <w:color w:val="26282f"/>
    </w:rPr>
  </w:style>
  <w:style w:type="character" w:styleId="669" w:default="1">
    <w:name w:val="Default Paragraph Font"/>
    <w:uiPriority w:val="1"/>
    <w:semiHidden/>
    <w:unhideWhenUsed/>
  </w:style>
  <w:style w:type="table" w:styleId="6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1" w:default="1">
    <w:name w:val="No List"/>
    <w:uiPriority w:val="99"/>
    <w:semiHidden/>
    <w:unhideWhenUsed/>
  </w:style>
  <w:style w:type="paragraph" w:styleId="672" w:customStyle="1">
    <w:name w:val="ConsPlusCell"/>
    <w:uiPriority w:val="99"/>
    <w:rPr>
      <w:rFonts w:eastAsia="Times New Roman"/>
      <w:sz w:val="28"/>
      <w:szCs w:val="28"/>
    </w:rPr>
  </w:style>
  <w:style w:type="paragraph" w:styleId="673">
    <w:name w:val="List Paragraph"/>
    <w:basedOn w:val="667"/>
    <w:uiPriority w:val="99"/>
    <w:qFormat/>
    <w:pPr>
      <w:contextualSpacing/>
      <w:ind w:left="720"/>
    </w:pPr>
    <w:rPr>
      <w:rFonts w:eastAsia="Calibri"/>
      <w:sz w:val="28"/>
      <w:szCs w:val="28"/>
      <w:lang w:eastAsia="en-US"/>
    </w:rPr>
  </w:style>
  <w:style w:type="paragraph" w:styleId="674">
    <w:name w:val="Header"/>
    <w:basedOn w:val="667"/>
    <w:link w:val="675"/>
    <w:uiPriority w:val="99"/>
    <w:pPr>
      <w:tabs>
        <w:tab w:val="center" w:pos="4677" w:leader="none"/>
        <w:tab w:val="right" w:pos="9355" w:leader="none"/>
      </w:tabs>
    </w:pPr>
  </w:style>
  <w:style w:type="character" w:styleId="675" w:customStyle="1">
    <w:name w:val="Верхний колонтитул Знак"/>
    <w:link w:val="674"/>
    <w:uiPriority w:val="99"/>
    <w:rPr>
      <w:rFonts w:eastAsia="Times New Roman" w:cs="Times New Roman"/>
      <w:sz w:val="24"/>
      <w:szCs w:val="24"/>
      <w:lang w:eastAsia="ru-RU"/>
    </w:rPr>
  </w:style>
  <w:style w:type="paragraph" w:styleId="676">
    <w:name w:val="Footer"/>
    <w:basedOn w:val="667"/>
    <w:link w:val="677"/>
    <w:uiPriority w:val="99"/>
    <w:semiHidden/>
    <w:pPr>
      <w:tabs>
        <w:tab w:val="center" w:pos="4677" w:leader="none"/>
        <w:tab w:val="right" w:pos="9355" w:leader="none"/>
      </w:tabs>
    </w:pPr>
  </w:style>
  <w:style w:type="character" w:styleId="677" w:customStyle="1">
    <w:name w:val="Нижний колонтитул Знак"/>
    <w:link w:val="676"/>
    <w:uiPriority w:val="99"/>
    <w:semiHidden/>
    <w:rPr>
      <w:rFonts w:eastAsia="Times New Roman" w:cs="Times New Roman"/>
      <w:sz w:val="24"/>
      <w:szCs w:val="24"/>
      <w:lang w:eastAsia="ru-RU"/>
    </w:rPr>
  </w:style>
  <w:style w:type="paragraph" w:styleId="678" w:customStyle="1">
    <w:name w:val="Нормальный (таблица)"/>
    <w:basedOn w:val="667"/>
    <w:next w:val="667"/>
    <w:uiPriority w:val="99"/>
    <w:pPr>
      <w:jc w:val="both"/>
    </w:pPr>
    <w:rPr>
      <w:rFonts w:ascii="Arial" w:hAnsi="Arial" w:eastAsia="Calibri" w:cs="Arial"/>
    </w:rPr>
  </w:style>
  <w:style w:type="character" w:styleId="679" w:customStyle="1">
    <w:name w:val="Заголовок 1 Знак"/>
    <w:basedOn w:val="669"/>
    <w:link w:val="668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styleId="680">
    <w:name w:val="Balloon Text"/>
    <w:basedOn w:val="667"/>
    <w:link w:val="68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81" w:customStyle="1">
    <w:name w:val="Текст выноски Знак"/>
    <w:basedOn w:val="669"/>
    <w:link w:val="680"/>
    <w:uiPriority w:val="99"/>
    <w:semiHidden/>
    <w:rPr>
      <w:rFonts w:ascii="Segoe UI" w:hAnsi="Segoe UI" w:eastAsia="Times New Roman" w:cs="Segoe UI"/>
      <w:sz w:val="18"/>
      <w:szCs w:val="18"/>
    </w:rPr>
  </w:style>
  <w:style w:type="paragraph" w:styleId="682" w:customStyle="1">
    <w:name w:val="ConsPlusNormal"/>
    <w:pPr>
      <w:widowControl w:val="off"/>
    </w:pPr>
    <w:rPr>
      <w:rFonts w:ascii="Arial" w:hAnsi="Arial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E323A-9987-4375-B07A-02FC0E1E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 г.Барнаула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berdova.yn</cp:lastModifiedBy>
  <cp:revision>65</cp:revision>
  <dcterms:created xsi:type="dcterms:W3CDTF">2022-12-21T06:10:00Z</dcterms:created>
  <dcterms:modified xsi:type="dcterms:W3CDTF">2025-12-19T07:54:50Z</dcterms:modified>
</cp:coreProperties>
</file>